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615CF7" w14:textId="74A3E7A0"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B6360B">
        <w:rPr>
          <w:rFonts w:ascii="Arial" w:eastAsia="SimSun" w:hAnsi="Arial" w:cs="Times New Roman"/>
          <w:b/>
          <w:sz w:val="24"/>
          <w:szCs w:val="20"/>
        </w:rPr>
        <w:t>8</w:t>
      </w:r>
      <w:r w:rsidRPr="008F786B">
        <w:rPr>
          <w:rFonts w:ascii="Arial" w:eastAsia="SimSun" w:hAnsi="Arial" w:cs="Times New Roman"/>
          <w:b/>
          <w:bCs/>
          <w:sz w:val="24"/>
          <w:szCs w:val="20"/>
        </w:rPr>
        <w:tab/>
      </w:r>
      <w:r w:rsidR="00E82086" w:rsidRPr="00E82086">
        <w:rPr>
          <w:rFonts w:ascii="Arial" w:eastAsia="SimSun" w:hAnsi="Arial" w:cs="Times New Roman"/>
          <w:b/>
          <w:bCs/>
          <w:sz w:val="24"/>
          <w:szCs w:val="20"/>
          <w:lang w:eastAsia="ja-JP"/>
        </w:rPr>
        <w:t>R4-2601928</w:t>
      </w:r>
    </w:p>
    <w:bookmarkEnd w:id="0"/>
    <w:bookmarkEnd w:id="1"/>
    <w:p w14:paraId="66384A9E" w14:textId="77777777" w:rsidR="00B26A8A" w:rsidRPr="00B26A8A" w:rsidRDefault="00B6360B"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Gothenburg</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SE</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9</w:t>
      </w:r>
      <w:r w:rsidR="00225F78" w:rsidRPr="00225F78">
        <w:rPr>
          <w:rFonts w:ascii="Arial" w:eastAsia="SimSun" w:hAnsi="Arial" w:cs="Times New Roman"/>
          <w:b/>
          <w:sz w:val="24"/>
          <w:szCs w:val="20"/>
        </w:rPr>
        <w:t xml:space="preserve">th – </w:t>
      </w:r>
      <w:r>
        <w:rPr>
          <w:rFonts w:ascii="Arial" w:eastAsia="SimSun" w:hAnsi="Arial" w:cs="Times New Roman"/>
          <w:b/>
          <w:sz w:val="24"/>
          <w:szCs w:val="20"/>
        </w:rPr>
        <w:t>13th</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February</w:t>
      </w:r>
      <w:r w:rsidR="00AE3586">
        <w:rPr>
          <w:rFonts w:ascii="Arial" w:eastAsia="SimSun" w:hAnsi="Arial" w:cs="Times New Roman"/>
          <w:b/>
          <w:sz w:val="24"/>
          <w:szCs w:val="20"/>
        </w:rPr>
        <w:t xml:space="preserve"> </w:t>
      </w:r>
      <w:r w:rsidR="00225F78" w:rsidRPr="00225F78">
        <w:rPr>
          <w:rFonts w:ascii="Arial" w:eastAsia="SimSun" w:hAnsi="Arial" w:cs="Times New Roman"/>
          <w:b/>
          <w:sz w:val="24"/>
          <w:szCs w:val="20"/>
        </w:rPr>
        <w:t>202</w:t>
      </w:r>
      <w:r>
        <w:rPr>
          <w:rFonts w:ascii="Arial" w:eastAsia="SimSun" w:hAnsi="Arial" w:cs="Times New Roman"/>
          <w:b/>
          <w:sz w:val="24"/>
          <w:szCs w:val="20"/>
        </w:rPr>
        <w:t>6</w:t>
      </w:r>
    </w:p>
    <w:p w14:paraId="189375E7"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C1EE4F9"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78431E4A" w14:textId="44FBEB89" w:rsidR="00841BCD" w:rsidRPr="00961DD7" w:rsidRDefault="00841BCD" w:rsidP="00961DD7">
      <w:pPr>
        <w:ind w:left="1985" w:hanging="1985"/>
        <w:jc w:val="both"/>
        <w:rPr>
          <w:rFonts w:ascii="Arial"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961DD7">
        <w:rPr>
          <w:rFonts w:ascii="Arial" w:hAnsi="Arial" w:cs="Arial"/>
          <w:b/>
          <w:bCs/>
          <w:sz w:val="24"/>
        </w:rPr>
        <w:t>On E-UTRAN TN to NR NTN enhancements in CONNECTED</w:t>
      </w:r>
    </w:p>
    <w:p w14:paraId="41EDE436" w14:textId="42F38C9D"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961DD7">
        <w:rPr>
          <w:rFonts w:ascii="Arial" w:eastAsia="MS Mincho" w:hAnsi="Arial" w:cs="Arial"/>
          <w:b/>
          <w:bCs/>
          <w:sz w:val="24"/>
          <w:szCs w:val="20"/>
        </w:rPr>
        <w:t>7.15.2</w:t>
      </w:r>
    </w:p>
    <w:p w14:paraId="5E58B1AC"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0BA50D52"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0FB5E392" w14:textId="20243BF4" w:rsidR="000B78DF" w:rsidRDefault="000B78DF" w:rsidP="000B78DF">
      <w:r>
        <w:t xml:space="preserve">After a successful Release 19 wherein all possible IDLE mode cell reselections or redirections between LTE/NR/TN/NTN/IoT system have been defined, time has come to work on CONNECTED mode enhancements. RAN#108 (June 2025) has approved a new work item </w:t>
      </w:r>
      <w:r>
        <w:fldChar w:fldCharType="begin"/>
      </w:r>
      <w:r>
        <w:instrText xml:space="preserve"> REF _Ref185347846 \r \h </w:instrText>
      </w:r>
      <w:r>
        <w:fldChar w:fldCharType="separate"/>
      </w:r>
      <w:r>
        <w:t>[1]</w:t>
      </w:r>
      <w:r>
        <w:fldChar w:fldCharType="end"/>
      </w:r>
      <w:r>
        <w:t>, wherein the following objective and assumptions can be found:</w:t>
      </w:r>
    </w:p>
    <w:tbl>
      <w:tblPr>
        <w:tblStyle w:val="TableGrid"/>
        <w:tblW w:w="0" w:type="auto"/>
        <w:tblLook w:val="04A0" w:firstRow="1" w:lastRow="0" w:firstColumn="1" w:lastColumn="0" w:noHBand="0" w:noVBand="1"/>
      </w:tblPr>
      <w:tblGrid>
        <w:gridCol w:w="9617"/>
      </w:tblGrid>
      <w:tr w:rsidR="000B78DF" w14:paraId="7A54F37B" w14:textId="77777777" w:rsidTr="00700F79">
        <w:tc>
          <w:tcPr>
            <w:tcW w:w="9629" w:type="dxa"/>
          </w:tcPr>
          <w:p w14:paraId="4FE82105" w14:textId="77777777" w:rsidR="000B78DF" w:rsidRPr="00932D2A" w:rsidRDefault="000B78DF" w:rsidP="00700F79">
            <w:pPr>
              <w:rPr>
                <w:lang w:val="en-US"/>
              </w:rPr>
            </w:pPr>
            <w:r w:rsidRPr="00932D2A">
              <w:rPr>
                <w:lang w:val="en-US"/>
              </w:rPr>
              <w:t>Assumptions</w:t>
            </w:r>
          </w:p>
          <w:p w14:paraId="17479383" w14:textId="77777777" w:rsidR="000B78DF" w:rsidRPr="00CF1249" w:rsidRDefault="000B78DF" w:rsidP="00390DA3">
            <w:pPr>
              <w:pStyle w:val="ListParagraph"/>
              <w:numPr>
                <w:ilvl w:val="0"/>
                <w:numId w:val="29"/>
              </w:numPr>
              <w:autoSpaceDE w:val="0"/>
              <w:autoSpaceDN w:val="0"/>
              <w:adjustRightInd w:val="0"/>
              <w:spacing w:before="120"/>
              <w:contextualSpacing w:val="0"/>
            </w:pPr>
            <w:r w:rsidRPr="00CF1249">
              <w:t xml:space="preserve">GSO (Geo Synchronous Orbit) and NGSO (Non-Geo Synchronous Orbit). NGSO includes Low Earth Orbit (LEO) and Medium </w:t>
            </w:r>
            <w:r>
              <w:t>Earth Orbit (MEO)</w:t>
            </w:r>
          </w:p>
          <w:p w14:paraId="2FF2C223" w14:textId="77777777" w:rsidR="000B78DF" w:rsidRPr="00CF1249" w:rsidRDefault="000B78DF" w:rsidP="00390DA3">
            <w:pPr>
              <w:pStyle w:val="ListParagraph"/>
              <w:numPr>
                <w:ilvl w:val="0"/>
                <w:numId w:val="29"/>
              </w:numPr>
              <w:autoSpaceDE w:val="0"/>
              <w:autoSpaceDN w:val="0"/>
              <w:adjustRightInd w:val="0"/>
              <w:spacing w:before="120"/>
              <w:contextualSpacing w:val="0"/>
            </w:pPr>
            <w:r w:rsidRPr="00CF1249">
              <w:t>Earth fixed tracking area. Quasi-Earth fixed &amp; Earth moving cells for NGSO</w:t>
            </w:r>
          </w:p>
          <w:p w14:paraId="0F0E7F60" w14:textId="77777777" w:rsidR="000B78DF" w:rsidRPr="00CF1249" w:rsidRDefault="000B78DF" w:rsidP="00390DA3">
            <w:pPr>
              <w:pStyle w:val="ListParagraph"/>
              <w:numPr>
                <w:ilvl w:val="0"/>
                <w:numId w:val="29"/>
              </w:numPr>
              <w:spacing w:before="120"/>
              <w:contextualSpacing w:val="0"/>
            </w:pPr>
            <w:r w:rsidRPr="00CF1249">
              <w:t>NTN-FR1 band is considered in priority</w:t>
            </w:r>
          </w:p>
          <w:p w14:paraId="3A39445E" w14:textId="77777777" w:rsidR="000B78DF" w:rsidRPr="00CF1249" w:rsidRDefault="000B78DF" w:rsidP="00390DA3">
            <w:pPr>
              <w:pStyle w:val="ListParagraph"/>
              <w:numPr>
                <w:ilvl w:val="0"/>
                <w:numId w:val="29"/>
              </w:numPr>
              <w:autoSpaceDE w:val="0"/>
              <w:autoSpaceDN w:val="0"/>
              <w:adjustRightInd w:val="0"/>
              <w:spacing w:before="120"/>
              <w:contextualSpacing w:val="0"/>
            </w:pPr>
            <w:r w:rsidRPr="00CF1249">
              <w:t>UEs with GNSS capability</w:t>
            </w:r>
          </w:p>
          <w:p w14:paraId="4200905B" w14:textId="77777777" w:rsidR="000B78DF" w:rsidRPr="00CF1249" w:rsidRDefault="000B78DF" w:rsidP="00390DA3">
            <w:pPr>
              <w:pStyle w:val="ListParagraph"/>
              <w:numPr>
                <w:ilvl w:val="0"/>
                <w:numId w:val="29"/>
              </w:numPr>
              <w:spacing w:before="120"/>
              <w:contextualSpacing w:val="0"/>
            </w:pPr>
            <w:r w:rsidRPr="00CF1249">
              <w:t>Support of Multiple SMTCs is not within the scope</w:t>
            </w:r>
          </w:p>
          <w:p w14:paraId="2AAED478" w14:textId="77777777" w:rsidR="000B78DF" w:rsidRPr="00932D2A" w:rsidRDefault="000B78DF" w:rsidP="00700F79">
            <w:pPr>
              <w:rPr>
                <w:lang w:val="en-US"/>
              </w:rPr>
            </w:pPr>
          </w:p>
          <w:p w14:paraId="1019B82B" w14:textId="77777777" w:rsidR="000B78DF" w:rsidRPr="00932D2A" w:rsidRDefault="000B78DF" w:rsidP="00700F79">
            <w:pPr>
              <w:rPr>
                <w:lang w:val="en-US"/>
              </w:rPr>
            </w:pPr>
            <w:r w:rsidRPr="00932D2A">
              <w:rPr>
                <w:lang w:val="en-US"/>
              </w:rPr>
              <w:t>Objectives</w:t>
            </w:r>
          </w:p>
          <w:p w14:paraId="45BB026B" w14:textId="77777777" w:rsidR="000B78DF" w:rsidRPr="00CF1249" w:rsidRDefault="000B78DF" w:rsidP="00390DA3">
            <w:pPr>
              <w:pStyle w:val="ListParagraph"/>
              <w:numPr>
                <w:ilvl w:val="0"/>
                <w:numId w:val="29"/>
              </w:numPr>
              <w:autoSpaceDE w:val="0"/>
              <w:autoSpaceDN w:val="0"/>
              <w:adjustRightInd w:val="0"/>
              <w:spacing w:before="120"/>
              <w:contextualSpacing w:val="0"/>
            </w:pPr>
            <w:r w:rsidRPr="00CF1249">
              <w:t xml:space="preserve">Specify necessary enhancements </w:t>
            </w:r>
            <w:r>
              <w:rPr>
                <w:rFonts w:hint="eastAsia"/>
              </w:rPr>
              <w:t xml:space="preserve">on inter-RAT </w:t>
            </w:r>
            <w:r>
              <w:t>measurement</w:t>
            </w:r>
            <w:r>
              <w:rPr>
                <w:rFonts w:hint="eastAsia"/>
              </w:rPr>
              <w:t xml:space="preserve">s </w:t>
            </w:r>
            <w:r w:rsidRPr="00CF1249">
              <w:t xml:space="preserve">to support E-UTRA TN to NR NTN </w:t>
            </w:r>
            <w:r>
              <w:t xml:space="preserve">handover in RRC connected mode </w:t>
            </w:r>
            <w:r>
              <w:rPr>
                <w:rFonts w:hint="eastAsia"/>
              </w:rPr>
              <w:t>[</w:t>
            </w:r>
            <w:r>
              <w:t>RAN2</w:t>
            </w:r>
            <w:r>
              <w:rPr>
                <w:rFonts w:hint="eastAsia"/>
              </w:rPr>
              <w:t>]</w:t>
            </w:r>
          </w:p>
          <w:p w14:paraId="32589093" w14:textId="77777777" w:rsidR="000B78DF" w:rsidRPr="00CF1249" w:rsidRDefault="000B78DF" w:rsidP="00390DA3">
            <w:pPr>
              <w:pStyle w:val="ListParagraph"/>
              <w:numPr>
                <w:ilvl w:val="1"/>
                <w:numId w:val="29"/>
              </w:numPr>
              <w:autoSpaceDE w:val="0"/>
              <w:autoSpaceDN w:val="0"/>
              <w:adjustRightInd w:val="0"/>
              <w:spacing w:before="120"/>
              <w:contextualSpacing w:val="0"/>
            </w:pPr>
            <w:r w:rsidRPr="00CF1249">
              <w:t xml:space="preserve">This includes the definition of necessary satellite information to be provided by E-UTRA TN for NR NTN </w:t>
            </w:r>
            <w:proofErr w:type="spellStart"/>
            <w:r w:rsidRPr="00CF1249">
              <w:t>neighbor</w:t>
            </w:r>
            <w:proofErr w:type="spellEnd"/>
            <w:r w:rsidRPr="00CF1249">
              <w:t xml:space="preserve"> cell measurement (e.g. polarization information, ephemeris data, etc.) in NR specific measurement configurations.</w:t>
            </w:r>
          </w:p>
          <w:p w14:paraId="2FA381DD" w14:textId="77777777" w:rsidR="000B78DF" w:rsidRDefault="000B78DF" w:rsidP="00390DA3">
            <w:pPr>
              <w:pStyle w:val="ListParagraph"/>
              <w:numPr>
                <w:ilvl w:val="1"/>
                <w:numId w:val="29"/>
              </w:numPr>
              <w:autoSpaceDE w:val="0"/>
              <w:autoSpaceDN w:val="0"/>
              <w:adjustRightInd w:val="0"/>
              <w:spacing w:before="120"/>
              <w:contextualSpacing w:val="0"/>
            </w:pPr>
            <w:r w:rsidRPr="00CF1249">
              <w:t>Note: For this objective, the solutions shall be reusing the existing signalling for inter-RAT measurements to NR in TS 36.331 and the related satellite assistance information specified in TS 38.331 for NR NTN.</w:t>
            </w:r>
            <w:r>
              <w:br/>
            </w:r>
          </w:p>
          <w:p w14:paraId="0AAF18BE" w14:textId="5252FD18" w:rsidR="00390DA3" w:rsidRPr="00390DA3" w:rsidRDefault="00390DA3" w:rsidP="00390DA3">
            <w:pPr>
              <w:pStyle w:val="ListParagraph"/>
              <w:numPr>
                <w:ilvl w:val="0"/>
                <w:numId w:val="29"/>
              </w:numPr>
              <w:autoSpaceDE w:val="0"/>
              <w:autoSpaceDN w:val="0"/>
              <w:adjustRightInd w:val="0"/>
              <w:spacing w:before="120" w:line="276" w:lineRule="auto"/>
              <w:contextualSpacing w:val="0"/>
              <w:rPr>
                <w:szCs w:val="20"/>
                <w:highlight w:val="yellow"/>
                <w:lang w:val="en-US"/>
              </w:rPr>
            </w:pPr>
            <w:r w:rsidRPr="00390DA3">
              <w:rPr>
                <w:szCs w:val="20"/>
                <w:highlight w:val="yellow"/>
              </w:rPr>
              <w:t>Specify necessary RRM requirements for mobility scenario of "E-UTRA TN to NR NTN" in CONNECTED mode. [RAN4]</w:t>
            </w:r>
          </w:p>
        </w:tc>
      </w:tr>
    </w:tbl>
    <w:p w14:paraId="0B7D274F" w14:textId="3051178D" w:rsidR="0060543D" w:rsidRPr="008F786B" w:rsidRDefault="000B78DF" w:rsidP="005C23A4">
      <w:r>
        <w:br/>
        <w:t xml:space="preserve">In this </w:t>
      </w:r>
      <w:r w:rsidRPr="00451A30">
        <w:t xml:space="preserve">paper we </w:t>
      </w:r>
      <w:r>
        <w:t>provide our view regarding how to address this Rel-20 objective, considering all the work that has been done in Release 19 and specially the work that is still to be done by RAN2 in Rel-20.</w:t>
      </w:r>
    </w:p>
    <w:p w14:paraId="6F8B479D" w14:textId="417C3480" w:rsidR="000B78DF" w:rsidRDefault="003B659E" w:rsidP="000B78DF">
      <w:pPr>
        <w:pStyle w:val="RAN4H1"/>
      </w:pPr>
      <w:bookmarkStart w:id="4" w:name="_Toc116995842"/>
      <w:r w:rsidRPr="008F786B">
        <w:t>Discussion</w:t>
      </w:r>
      <w:bookmarkEnd w:id="4"/>
    </w:p>
    <w:p w14:paraId="0F10D353" w14:textId="3201565D" w:rsidR="008110B7" w:rsidRDefault="000B78DF" w:rsidP="000B78DF">
      <w:pPr>
        <w:rPr>
          <w:lang w:val="en-US"/>
        </w:rPr>
      </w:pPr>
      <w:r>
        <w:t xml:space="preserve">The WID tasks RAN4 to </w:t>
      </w:r>
      <w:r w:rsidR="00390DA3">
        <w:t>specify necessary RRM requirements for mobility scenarios of E</w:t>
      </w:r>
      <w:r w:rsidR="00390DA3" w:rsidRPr="00390DA3">
        <w:rPr>
          <w:lang w:val="en-US"/>
        </w:rPr>
        <w:t>-</w:t>
      </w:r>
      <w:r w:rsidR="00390DA3">
        <w:rPr>
          <w:lang w:val="en-US"/>
        </w:rPr>
        <w:t xml:space="preserve">UTRA TN to NR NTN in connected mode. The mobility procedure and corresponding </w:t>
      </w:r>
      <w:proofErr w:type="spellStart"/>
      <w:r w:rsidR="00390DA3">
        <w:rPr>
          <w:lang w:val="en-US"/>
        </w:rPr>
        <w:t>signalling</w:t>
      </w:r>
      <w:proofErr w:type="spellEnd"/>
      <w:r w:rsidR="00390DA3">
        <w:rPr>
          <w:lang w:val="en-US"/>
        </w:rPr>
        <w:t xml:space="preserve"> was left for RAN2 discussion</w:t>
      </w:r>
      <w:r w:rsidR="008110B7">
        <w:rPr>
          <w:lang w:val="en-US"/>
        </w:rPr>
        <w:t xml:space="preserve">, </w:t>
      </w:r>
      <w:r w:rsidR="00525404">
        <w:rPr>
          <w:lang w:val="en-US"/>
        </w:rPr>
        <w:t>which will be initiated no sooner than in April 2026.</w:t>
      </w:r>
    </w:p>
    <w:p w14:paraId="5EB6EEA7" w14:textId="7A9218D9" w:rsidR="008110B7" w:rsidRPr="008110B7" w:rsidRDefault="008110B7" w:rsidP="000B78DF">
      <w:pPr>
        <w:rPr>
          <w:b/>
          <w:bCs/>
          <w:u w:val="single"/>
          <w:lang w:val="en-US"/>
        </w:rPr>
      </w:pPr>
      <w:r w:rsidRPr="008110B7">
        <w:rPr>
          <w:b/>
          <w:bCs/>
          <w:u w:val="single"/>
          <w:lang w:val="en-US"/>
        </w:rPr>
        <w:t>Minimum Requirements in RAN4.</w:t>
      </w:r>
    </w:p>
    <w:p w14:paraId="1FA79959" w14:textId="785AF4F7" w:rsidR="000B78DF" w:rsidRPr="00390DA3" w:rsidRDefault="008110B7" w:rsidP="000B78DF">
      <w:pPr>
        <w:rPr>
          <w:lang w:val="en-US"/>
        </w:rPr>
      </w:pPr>
      <w:r>
        <w:rPr>
          <w:lang w:val="en-US"/>
        </w:rPr>
        <w:t>In NTN, according to RAN4 previous agreements, requirements are applicable when the UE has the necessary assistance information from the satellite associated to the cell to be measured (</w:t>
      </w:r>
      <w:r w:rsidRPr="008110B7">
        <w:t xml:space="preserve">ephemeris information, common TA, DL and UL Polarization information, </w:t>
      </w:r>
      <w:proofErr w:type="spellStart"/>
      <w:r w:rsidRPr="008110B7">
        <w:t>K</w:t>
      </w:r>
      <w:r w:rsidRPr="008110B7">
        <w:rPr>
          <w:vertAlign w:val="subscript"/>
        </w:rPr>
        <w:t>offset</w:t>
      </w:r>
      <w:proofErr w:type="spellEnd"/>
      <w:r w:rsidRPr="008110B7">
        <w:t xml:space="preserve">, and </w:t>
      </w:r>
      <w:proofErr w:type="spellStart"/>
      <w:r w:rsidRPr="008110B7">
        <w:t>K</w:t>
      </w:r>
      <w:r w:rsidRPr="008110B7">
        <w:rPr>
          <w:vertAlign w:val="subscript"/>
        </w:rPr>
        <w:t>mac</w:t>
      </w:r>
      <w:proofErr w:type="spellEnd"/>
      <w:r>
        <w:rPr>
          <w:vertAlign w:val="subscript"/>
        </w:rPr>
        <w:t>)</w:t>
      </w:r>
      <w:r>
        <w:rPr>
          <w:lang w:val="en-US"/>
        </w:rPr>
        <w:t xml:space="preserve">. </w:t>
      </w:r>
    </w:p>
    <w:p w14:paraId="249B6096" w14:textId="30A134B7" w:rsidR="008110B7" w:rsidRDefault="008110B7" w:rsidP="008110B7">
      <w:pPr>
        <w:pStyle w:val="RAN4observation0"/>
      </w:pPr>
      <w:bookmarkStart w:id="5" w:name="_Toc220689333"/>
      <w:r>
        <w:lastRenderedPageBreak/>
        <w:t>In RAN4 requirements are applicable when the UE is provided with satellite assistance information and the same principle remains true for mobility from E</w:t>
      </w:r>
      <w:r w:rsidRPr="008110B7">
        <w:rPr>
          <w:lang w:val="en-US"/>
        </w:rPr>
        <w:t>-</w:t>
      </w:r>
      <w:r>
        <w:rPr>
          <w:lang w:val="en-US"/>
        </w:rPr>
        <w:t>UTRA</w:t>
      </w:r>
      <w:bookmarkEnd w:id="5"/>
      <w:r>
        <w:t xml:space="preserve"> </w:t>
      </w:r>
    </w:p>
    <w:p w14:paraId="11257FC0" w14:textId="09D0C0A2" w:rsidR="008110B7" w:rsidRPr="008110B7" w:rsidRDefault="00360C25" w:rsidP="008110B7">
      <w:r>
        <w:t>According</w:t>
      </w:r>
      <w:r w:rsidR="008110B7">
        <w:t xml:space="preserve"> to the WID, RAN2 is the working group that is tasked to indicate “how” the signalling is to be provided to the UE, this </w:t>
      </w:r>
      <w:r w:rsidR="00DC737B">
        <w:t>will be</w:t>
      </w:r>
      <w:r w:rsidR="008110B7">
        <w:t xml:space="preserve"> addressed in our contribution</w:t>
      </w:r>
      <w:r w:rsidR="00DC737B">
        <w:t xml:space="preserve"> to RAN2#133bis.</w:t>
      </w:r>
    </w:p>
    <w:p w14:paraId="627BAC2F" w14:textId="287AB7C8" w:rsidR="008110B7" w:rsidRDefault="008110B7" w:rsidP="003C7791">
      <w:pPr>
        <w:pStyle w:val="RAN4observation0"/>
      </w:pPr>
      <w:bookmarkStart w:id="6" w:name="_Toc220689334"/>
      <w:r>
        <w:t>The information might be provided via dedicated RRC signalling, via broadcast SIB or via on-demand SIB. The proper setup is left for RAN2 implementation.</w:t>
      </w:r>
      <w:bookmarkEnd w:id="6"/>
      <w:r>
        <w:t xml:space="preserve"> </w:t>
      </w:r>
    </w:p>
    <w:p w14:paraId="3687358D" w14:textId="2FCD79A8" w:rsidR="008110B7" w:rsidRDefault="008110B7" w:rsidP="000B78DF">
      <w:pPr>
        <w:jc w:val="both"/>
      </w:pPr>
      <w:r>
        <w:t>It is worth noting that the inter-RAT measurement requirements in LTE, are only applicable for scenarios where the UE is provided with the appropriate measurement gap.</w:t>
      </w:r>
    </w:p>
    <w:tbl>
      <w:tblPr>
        <w:tblStyle w:val="TableGrid"/>
        <w:tblW w:w="0" w:type="auto"/>
        <w:tblLook w:val="04A0" w:firstRow="1" w:lastRow="0" w:firstColumn="1" w:lastColumn="0" w:noHBand="0" w:noVBand="1"/>
      </w:tblPr>
      <w:tblGrid>
        <w:gridCol w:w="9617"/>
      </w:tblGrid>
      <w:tr w:rsidR="008110B7" w14:paraId="181B5BDD" w14:textId="77777777" w:rsidTr="008110B7">
        <w:tc>
          <w:tcPr>
            <w:tcW w:w="9617" w:type="dxa"/>
          </w:tcPr>
          <w:p w14:paraId="75578567" w14:textId="77777777" w:rsidR="008110B7" w:rsidRDefault="008110B7" w:rsidP="000B78DF">
            <w:pPr>
              <w:jc w:val="both"/>
            </w:pPr>
            <w:r>
              <w:t>From TS 36.133:</w:t>
            </w:r>
          </w:p>
          <w:p w14:paraId="79FA7304" w14:textId="1ED1E554" w:rsidR="008110B7" w:rsidRDefault="008110B7" w:rsidP="000B78DF">
            <w:pPr>
              <w:jc w:val="both"/>
            </w:pPr>
            <w:r>
              <w:t xml:space="preserve"> </w:t>
            </w:r>
            <w:r w:rsidRPr="008110B7">
              <w:rPr>
                <w:i/>
                <w:iCs/>
              </w:rPr>
              <w:t>“performing inter-RAT E-UTRAN FDD – NR or E-UTRAN TDD – NR measurements with appropriate measurement gaps according to Section 8”</w:t>
            </w:r>
          </w:p>
        </w:tc>
      </w:tr>
    </w:tbl>
    <w:p w14:paraId="1D8E7711" w14:textId="77777777" w:rsidR="008110B7" w:rsidRDefault="008110B7" w:rsidP="000B78DF">
      <w:pPr>
        <w:jc w:val="both"/>
      </w:pPr>
    </w:p>
    <w:p w14:paraId="1EEA7177" w14:textId="76511901" w:rsidR="000B78DF" w:rsidRDefault="000B78DF" w:rsidP="000B78DF">
      <w:pPr>
        <w:jc w:val="both"/>
      </w:pPr>
      <w:r>
        <w:t xml:space="preserve">As can be noticed, </w:t>
      </w:r>
      <w:r w:rsidR="003C7791">
        <w:t xml:space="preserve">due to the current limitation in the LTE specification, and assuming no major modifications in the LTE spec is expected for Rel-20 [1], </w:t>
      </w:r>
      <w:r>
        <w:t xml:space="preserve">the work does not involve multiple NR SMTCs the UE connected to LTE TN cell should measure. </w:t>
      </w:r>
      <w:r w:rsidR="003C7791">
        <w:t xml:space="preserve">Therefore, UEs in LTE will not be capable to measure multiple cells in NTN, when those multiple cells are provided with different SSB periodicities and configurations (such is the case for DL coverage enhancement feature, for example). It is a similar restriction as agreed for the mechanism that applies to IDLE/INACTIVE in Release 19.  </w:t>
      </w:r>
    </w:p>
    <w:p w14:paraId="230F98DB" w14:textId="00A19EBC" w:rsidR="000B78DF" w:rsidRDefault="000B78DF" w:rsidP="003C7791">
      <w:pPr>
        <w:pStyle w:val="RAN4observation0"/>
      </w:pPr>
      <w:r w:rsidRPr="00E91A33">
        <w:t xml:space="preserve"> </w:t>
      </w:r>
      <w:bookmarkStart w:id="7" w:name="_Toc220689335"/>
      <w:r w:rsidR="003C7791">
        <w:t>It is not expected that in</w:t>
      </w:r>
      <w:r w:rsidRPr="00E91A33">
        <w:t xml:space="preserve"> CONNECTED mode </w:t>
      </w:r>
      <w:r w:rsidR="003C7791">
        <w:t>the UE will be configured with multiple SMTCs</w:t>
      </w:r>
      <w:r w:rsidRPr="00E91A33">
        <w:t xml:space="preserve"> </w:t>
      </w:r>
      <w:r>
        <w:t>which LTE-connected UE is supposed to measure</w:t>
      </w:r>
      <w:r w:rsidRPr="00E91A33">
        <w:t>.</w:t>
      </w:r>
      <w:bookmarkEnd w:id="7"/>
    </w:p>
    <w:p w14:paraId="69A82716" w14:textId="3B3F6BB6" w:rsidR="002F0BB8" w:rsidRPr="002F0BB8" w:rsidRDefault="002F0BB8" w:rsidP="002F0BB8">
      <w:pPr>
        <w:pStyle w:val="RAN4proposal"/>
      </w:pPr>
      <w:bookmarkStart w:id="8" w:name="_Toc220689336"/>
      <w:r>
        <w:t>Wait for RAN2 progress to decide whether more than one satellite can be configured for measurements for TN (LTE) =&gt; NTN (NR) mobility case</w:t>
      </w:r>
      <w:r w:rsidR="008C5429">
        <w:t>.</w:t>
      </w:r>
      <w:bookmarkEnd w:id="8"/>
    </w:p>
    <w:p w14:paraId="074315DE" w14:textId="6FED6735" w:rsidR="002F0BB8" w:rsidRDefault="002F0BB8" w:rsidP="000B78DF">
      <w:pPr>
        <w:jc w:val="both"/>
      </w:pPr>
      <w:r>
        <w:t xml:space="preserve">Another applicability requirement from TS 36.133 states that the measurement requirements are applicable if the UE is “synchronized to the cell that is measured”. </w:t>
      </w:r>
    </w:p>
    <w:p w14:paraId="0D3E62D6" w14:textId="535341F3" w:rsidR="002F0BB8" w:rsidRDefault="002F0BB8" w:rsidP="000B78DF">
      <w:pPr>
        <w:jc w:val="both"/>
      </w:pPr>
      <w:r>
        <w:t xml:space="preserve">The synchronisation aspect in NTN depends on time and frequency pre-compensation. Even assuming that a UE </w:t>
      </w:r>
      <w:proofErr w:type="gramStart"/>
      <w:r>
        <w:t>is capable of performing</w:t>
      </w:r>
      <w:proofErr w:type="gramEnd"/>
      <w:r>
        <w:t xml:space="preserve"> such pre-compensation for performing the mobility measurement, this may not be considered “being synchronized”</w:t>
      </w:r>
      <w:r w:rsidR="00CC5A68">
        <w:t xml:space="preserve">, as some might see “being synchronized” as assuming that the </w:t>
      </w:r>
      <w:proofErr w:type="spellStart"/>
      <w:r w:rsidR="00CC5A68">
        <w:t>neighbor</w:t>
      </w:r>
      <w:proofErr w:type="spellEnd"/>
      <w:r w:rsidR="00CC5A68">
        <w:t xml:space="preserve"> cell is currently within the same time reference as the serving cell. </w:t>
      </w:r>
      <w:r>
        <w:t>This could lead to ambiguity in the interpretation whether the requirements are applicable to TN (LTE) =&gt; NTN (NR) mobility case. Therefore we propose:</w:t>
      </w:r>
    </w:p>
    <w:p w14:paraId="305FCDB7" w14:textId="316C7660" w:rsidR="002F0BB8" w:rsidRDefault="00CC5A68" w:rsidP="002F0BB8">
      <w:pPr>
        <w:pStyle w:val="RAN4proposal"/>
      </w:pPr>
      <w:bookmarkStart w:id="9" w:name="_Toc220689337"/>
      <w:r>
        <w:t>In the specification clarify what “being synchronized” to the target cell means for the NTN case.</w:t>
      </w:r>
      <w:bookmarkEnd w:id="9"/>
      <w:r>
        <w:t xml:space="preserve"> </w:t>
      </w:r>
    </w:p>
    <w:p w14:paraId="600BEA5E" w14:textId="2EF7392B" w:rsidR="003C7791" w:rsidRDefault="002F0BB8" w:rsidP="000B78DF">
      <w:pPr>
        <w:jc w:val="both"/>
      </w:pPr>
      <w:r>
        <w:t xml:space="preserve">One further aspect to be considered, which is a consequence </w:t>
      </w:r>
      <w:proofErr w:type="gramStart"/>
      <w:r>
        <w:t xml:space="preserve">of  </w:t>
      </w:r>
      <w:r w:rsidR="003C7791">
        <w:t>limitation</w:t>
      </w:r>
      <w:r>
        <w:t>s</w:t>
      </w:r>
      <w:proofErr w:type="gramEnd"/>
      <w:r w:rsidR="003C7791">
        <w:t xml:space="preserve"> i</w:t>
      </w:r>
      <w:r>
        <w:t xml:space="preserve">n current LTE spec, is that </w:t>
      </w:r>
      <w:r w:rsidR="003C7791">
        <w:t xml:space="preserve">there </w:t>
      </w:r>
      <w:proofErr w:type="gramStart"/>
      <w:r w:rsidR="003C7791">
        <w:t>are</w:t>
      </w:r>
      <w:proofErr w:type="gramEnd"/>
      <w:r w:rsidR="003C7791">
        <w:t xml:space="preserve"> no location or </w:t>
      </w:r>
      <w:proofErr w:type="gramStart"/>
      <w:r w:rsidR="003C7791">
        <w:t>time based</w:t>
      </w:r>
      <w:proofErr w:type="gramEnd"/>
      <w:r w:rsidR="003C7791">
        <w:t xml:space="preserve"> triggers for CHO or for measurement reports</w:t>
      </w:r>
      <w:r>
        <w:t xml:space="preserve"> in LTE</w:t>
      </w:r>
      <w:r w:rsidR="003C7791">
        <w:t>. At the current point, RAN4 should wait for further RAN2 progress to observe whether location and time based mobility triggers will be included as part of the WI.</w:t>
      </w:r>
    </w:p>
    <w:p w14:paraId="642B72DB" w14:textId="6BFFB8F7" w:rsidR="003C7791" w:rsidRDefault="003C7791" w:rsidP="003C7791">
      <w:pPr>
        <w:pStyle w:val="RAN4observation0"/>
      </w:pPr>
      <w:bookmarkStart w:id="10" w:name="_Toc220689338"/>
      <w:r>
        <w:t xml:space="preserve">RAN4 shall wait to RAN2 progress to decide whether the requirements for location and </w:t>
      </w:r>
      <w:proofErr w:type="gramStart"/>
      <w:r>
        <w:t>time based</w:t>
      </w:r>
      <w:proofErr w:type="gramEnd"/>
      <w:r>
        <w:t xml:space="preserve"> triggers are relevant for this WI.</w:t>
      </w:r>
      <w:bookmarkEnd w:id="10"/>
      <w:r>
        <w:t xml:space="preserve"> </w:t>
      </w:r>
    </w:p>
    <w:p w14:paraId="326C896B" w14:textId="433659EA" w:rsidR="00E05ADC" w:rsidRPr="00E05ADC" w:rsidRDefault="00E05ADC" w:rsidP="00E05ADC">
      <w:r>
        <w:t>The overall framework for mobility measurements shall leverage as much as possible on existing solutions, that reuse the mobility aspects, as RAN2 arranges for the appropriate signalling to be in place:</w:t>
      </w:r>
    </w:p>
    <w:p w14:paraId="0A15CA46" w14:textId="1E22F2A3" w:rsidR="002F0BB8" w:rsidRDefault="002F0BB8" w:rsidP="00E05ADC">
      <w:pPr>
        <w:pStyle w:val="RAN4proposal"/>
      </w:pPr>
      <w:bookmarkStart w:id="11" w:name="_Toc220689339"/>
      <w:r>
        <w:t>In general, there is baseline assumption for the HO requirements and measurement requirements can be used by mergin</w:t>
      </w:r>
      <w:r w:rsidR="00E05ADC">
        <w:t>g</w:t>
      </w:r>
      <w:r>
        <w:t xml:space="preserve"> the E-UTRAN to NR HO requirements</w:t>
      </w:r>
      <w:r w:rsidR="00E05ADC">
        <w:t xml:space="preserve"> (clause 5.3.4 in TS 36.133)</w:t>
      </w:r>
      <w:r>
        <w:t xml:space="preserve"> with the NTN HO requirements </w:t>
      </w:r>
      <w:r w:rsidR="00E05ADC">
        <w:t>(clause 6.1C in TS 38.133).</w:t>
      </w:r>
      <w:bookmarkEnd w:id="11"/>
      <w:r w:rsidR="00E05ADC">
        <w:t xml:space="preserve"> </w:t>
      </w:r>
    </w:p>
    <w:p w14:paraId="01D3B391" w14:textId="29061A57" w:rsidR="00E05ADC" w:rsidRDefault="00E05ADC" w:rsidP="00E05ADC">
      <w:r>
        <w:t xml:space="preserve">It is </w:t>
      </w:r>
      <w:r w:rsidR="00E73AF3">
        <w:t xml:space="preserve">worth </w:t>
      </w:r>
      <w:r>
        <w:t>noting, though, that the presence of the ephemeris alone do</w:t>
      </w:r>
      <w:r w:rsidR="00E73AF3">
        <w:t>es</w:t>
      </w:r>
      <w:r>
        <w:t xml:space="preserve"> not guarantee the UE capability to measure the </w:t>
      </w:r>
      <w:proofErr w:type="spellStart"/>
      <w:r>
        <w:t>neighbor</w:t>
      </w:r>
      <w:proofErr w:type="spellEnd"/>
      <w:r>
        <w:t xml:space="preserve"> satellite with adequate timing and doppler compensation. For that, the UE must also know its own position. This requires that the UE has GNSS availability when configured with a measurement object associated to a satellite cell.</w:t>
      </w:r>
    </w:p>
    <w:p w14:paraId="59C5DD30" w14:textId="3ED80FFF" w:rsidR="00E05ADC" w:rsidRPr="00E05ADC" w:rsidRDefault="00E05ADC" w:rsidP="00E05ADC">
      <w:pPr>
        <w:pStyle w:val="RAN4proposal"/>
      </w:pPr>
      <w:bookmarkStart w:id="12" w:name="_Toc220689340"/>
      <w:r>
        <w:t xml:space="preserve">If a UE is configured with a measurement object that can be associated to a </w:t>
      </w:r>
      <w:r w:rsidR="005F7767">
        <w:t xml:space="preserve">NR </w:t>
      </w:r>
      <w:r>
        <w:t xml:space="preserve">NTN cell and the UE supports </w:t>
      </w:r>
      <w:r w:rsidR="005F7767">
        <w:t xml:space="preserve">NR </w:t>
      </w:r>
      <w:r>
        <w:t>NTN, the UE shall be considered to have GNSS on. The exact time where the GNSS is assumed to be on can be determined upon further investigation.</w:t>
      </w:r>
      <w:bookmarkEnd w:id="12"/>
      <w:r>
        <w:t xml:space="preserve"> </w:t>
      </w:r>
    </w:p>
    <w:p w14:paraId="26449E0F" w14:textId="77777777" w:rsidR="00893D2E" w:rsidRPr="008F786B" w:rsidRDefault="00893D2E">
      <w:pPr>
        <w:rPr>
          <w:rFonts w:ascii="Arial" w:eastAsia="SimSun" w:hAnsi="Arial" w:cs="Times New Roman"/>
          <w:sz w:val="36"/>
          <w:szCs w:val="20"/>
        </w:rPr>
      </w:pPr>
      <w:bookmarkStart w:id="13" w:name="_Toc116995848"/>
      <w:r w:rsidRPr="008F786B">
        <w:lastRenderedPageBreak/>
        <w:br w:type="page"/>
      </w:r>
    </w:p>
    <w:p w14:paraId="31707CE4" w14:textId="77777777" w:rsidR="00CD7492" w:rsidRPr="008F786B" w:rsidRDefault="00CD7492" w:rsidP="00A37002">
      <w:pPr>
        <w:pStyle w:val="RAN4H1"/>
      </w:pPr>
      <w:r w:rsidRPr="008F786B">
        <w:lastRenderedPageBreak/>
        <w:t>Conclusion</w:t>
      </w:r>
      <w:bookmarkEnd w:id="13"/>
    </w:p>
    <w:p w14:paraId="2945818F" w14:textId="4EF9CA4B" w:rsidR="00381F95" w:rsidRPr="008F786B" w:rsidRDefault="00381F95" w:rsidP="002F5A5C">
      <w:r w:rsidRPr="008F786B">
        <w:t>Th</w:t>
      </w:r>
      <w:r w:rsidR="002F5A5C">
        <w:t xml:space="preserve">is paper discussed the introduction of the LTE HO to NTN. Based on this discussion, the following proposals </w:t>
      </w:r>
      <w:proofErr w:type="spellStart"/>
      <w:r w:rsidR="002F5A5C">
        <w:t>wer</w:t>
      </w:r>
      <w:proofErr w:type="spellEnd"/>
      <w:r w:rsidR="002F5A5C">
        <w:t xml:space="preserve"> </w:t>
      </w:r>
      <w:proofErr w:type="spellStart"/>
      <w:r w:rsidR="002F5A5C">
        <w:t>emade</w:t>
      </w:r>
      <w:proofErr w:type="spellEnd"/>
      <w:r w:rsidR="002F5A5C">
        <w:t>:</w:t>
      </w:r>
    </w:p>
    <w:p w14:paraId="75937838" w14:textId="77777777" w:rsidR="006B5C56" w:rsidRDefault="00A4355E">
      <w:pPr>
        <w:pStyle w:val="TOC4"/>
        <w:tabs>
          <w:tab w:val="right" w:leader="dot" w:pos="9617"/>
        </w:tabs>
        <w:rPr>
          <w:rFonts w:asciiTheme="minorHAnsi" w:eastAsiaTheme="minorEastAsia" w:hAnsiTheme="minorHAnsi"/>
          <w:noProof/>
          <w:kern w:val="2"/>
          <w:sz w:val="24"/>
          <w:szCs w:val="24"/>
          <w:lang w:val="en-US" w:eastAsia="zh-CN"/>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20689333" w:history="1">
        <w:r w:rsidR="006B5C56" w:rsidRPr="00B71C51">
          <w:rPr>
            <w:rStyle w:val="Hyperlink"/>
            <w:b/>
            <w:noProof/>
          </w:rPr>
          <w:t>Observation 1:</w:t>
        </w:r>
        <w:r w:rsidR="006B5C56" w:rsidRPr="00B71C51">
          <w:rPr>
            <w:rStyle w:val="Hyperlink"/>
            <w:noProof/>
          </w:rPr>
          <w:t xml:space="preserve"> In RAN4 requirements are applicable when the UE is provided with satellite assistance information and the same principle remains true for mobility from E</w:t>
        </w:r>
        <w:r w:rsidR="006B5C56" w:rsidRPr="00B71C51">
          <w:rPr>
            <w:rStyle w:val="Hyperlink"/>
            <w:noProof/>
            <w:lang w:val="en-US"/>
          </w:rPr>
          <w:t>-UTRA</w:t>
        </w:r>
      </w:hyperlink>
    </w:p>
    <w:p w14:paraId="3577E3F8" w14:textId="77777777" w:rsidR="006B5C56" w:rsidRDefault="006B5C56">
      <w:pPr>
        <w:pStyle w:val="TOC4"/>
        <w:tabs>
          <w:tab w:val="right" w:leader="dot" w:pos="9617"/>
        </w:tabs>
        <w:rPr>
          <w:rFonts w:asciiTheme="minorHAnsi" w:eastAsiaTheme="minorEastAsia" w:hAnsiTheme="minorHAnsi"/>
          <w:noProof/>
          <w:kern w:val="2"/>
          <w:sz w:val="24"/>
          <w:szCs w:val="24"/>
          <w:lang w:val="en-US" w:eastAsia="zh-CN"/>
          <w14:ligatures w14:val="standardContextual"/>
        </w:rPr>
      </w:pPr>
      <w:hyperlink w:anchor="_Toc220689334" w:history="1">
        <w:r w:rsidRPr="00B71C51">
          <w:rPr>
            <w:rStyle w:val="Hyperlink"/>
            <w:b/>
            <w:noProof/>
          </w:rPr>
          <w:t>Observation 2:</w:t>
        </w:r>
        <w:r w:rsidRPr="00B71C51">
          <w:rPr>
            <w:rStyle w:val="Hyperlink"/>
            <w:noProof/>
          </w:rPr>
          <w:t xml:space="preserve"> The information might be provided via dedicated RRC signalling, via broadcast SIB or via on-demand SIB. The proper setup is left for RAN2 implementation.</w:t>
        </w:r>
      </w:hyperlink>
    </w:p>
    <w:p w14:paraId="53718306" w14:textId="77777777" w:rsidR="006B5C56" w:rsidRDefault="006B5C56">
      <w:pPr>
        <w:pStyle w:val="TOC4"/>
        <w:tabs>
          <w:tab w:val="right" w:leader="dot" w:pos="9617"/>
        </w:tabs>
        <w:rPr>
          <w:rFonts w:asciiTheme="minorHAnsi" w:eastAsiaTheme="minorEastAsia" w:hAnsiTheme="minorHAnsi"/>
          <w:noProof/>
          <w:kern w:val="2"/>
          <w:sz w:val="24"/>
          <w:szCs w:val="24"/>
          <w:lang w:val="en-US" w:eastAsia="zh-CN"/>
          <w14:ligatures w14:val="standardContextual"/>
        </w:rPr>
      </w:pPr>
      <w:hyperlink w:anchor="_Toc220689335" w:history="1">
        <w:r w:rsidRPr="00B71C51">
          <w:rPr>
            <w:rStyle w:val="Hyperlink"/>
            <w:b/>
            <w:noProof/>
          </w:rPr>
          <w:t>Observation 3:</w:t>
        </w:r>
        <w:r w:rsidRPr="00B71C51">
          <w:rPr>
            <w:rStyle w:val="Hyperlink"/>
            <w:noProof/>
          </w:rPr>
          <w:t xml:space="preserve"> It is not expected that in CONNECTED mode the UE will be configured with multiple SMTCs which LTE-connected UE is supposed to measure.</w:t>
        </w:r>
      </w:hyperlink>
    </w:p>
    <w:p w14:paraId="44BC6687" w14:textId="77777777" w:rsidR="006B5C56" w:rsidRDefault="006B5C56">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0689336" w:history="1">
        <w:r w:rsidRPr="00B71C51">
          <w:rPr>
            <w:rStyle w:val="Hyperlink"/>
            <w:noProof/>
          </w:rPr>
          <w:t>Proposal 1: Wait for RAN2 progress to decide whether more than one satellite can be configured for measurements for TN (LTE) =&gt; NTN (NR) mobility case.</w:t>
        </w:r>
      </w:hyperlink>
    </w:p>
    <w:p w14:paraId="0AB631B9" w14:textId="77777777" w:rsidR="006B5C56" w:rsidRDefault="006B5C56">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0689337" w:history="1">
        <w:r w:rsidRPr="00B71C51">
          <w:rPr>
            <w:rStyle w:val="Hyperlink"/>
            <w:noProof/>
          </w:rPr>
          <w:t>Proposal 2: In the specification clarify what “being synchronized” to the target cell means for the NTN case.</w:t>
        </w:r>
      </w:hyperlink>
    </w:p>
    <w:p w14:paraId="0A9E302C" w14:textId="77777777" w:rsidR="006B5C56" w:rsidRDefault="006B5C56">
      <w:pPr>
        <w:pStyle w:val="TOC4"/>
        <w:tabs>
          <w:tab w:val="right" w:leader="dot" w:pos="9617"/>
        </w:tabs>
        <w:rPr>
          <w:rFonts w:asciiTheme="minorHAnsi" w:eastAsiaTheme="minorEastAsia" w:hAnsiTheme="minorHAnsi"/>
          <w:noProof/>
          <w:kern w:val="2"/>
          <w:sz w:val="24"/>
          <w:szCs w:val="24"/>
          <w:lang w:val="en-US" w:eastAsia="zh-CN"/>
          <w14:ligatures w14:val="standardContextual"/>
        </w:rPr>
      </w:pPr>
      <w:hyperlink w:anchor="_Toc220689338" w:history="1">
        <w:r w:rsidRPr="00B71C51">
          <w:rPr>
            <w:rStyle w:val="Hyperlink"/>
            <w:b/>
            <w:noProof/>
          </w:rPr>
          <w:t>Observation 4:</w:t>
        </w:r>
        <w:r w:rsidRPr="00B71C51">
          <w:rPr>
            <w:rStyle w:val="Hyperlink"/>
            <w:noProof/>
          </w:rPr>
          <w:t xml:space="preserve"> RAN4 shall wait to RAN2 progress to decide whether the requirements for location and time based triggers are relevant for this WI.</w:t>
        </w:r>
      </w:hyperlink>
    </w:p>
    <w:p w14:paraId="71AAB0AB" w14:textId="77777777" w:rsidR="006B5C56" w:rsidRDefault="006B5C56">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0689339" w:history="1">
        <w:r w:rsidRPr="00B71C51">
          <w:rPr>
            <w:rStyle w:val="Hyperlink"/>
            <w:noProof/>
          </w:rPr>
          <w:t>Proposal 3: In general, there is baseline assumption for the HO requirements and measurement requirements can be used by merging the E-UTRAN to NR HO requirements (clause 5.3.4 in TS 36.133) with the NTN HO requirements (clause 6.1C in TS 38.133).</w:t>
        </w:r>
      </w:hyperlink>
    </w:p>
    <w:p w14:paraId="3C48822A" w14:textId="77777777" w:rsidR="006B5C56" w:rsidRDefault="006B5C56">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0689340" w:history="1">
        <w:r w:rsidRPr="00B71C51">
          <w:rPr>
            <w:rStyle w:val="Hyperlink"/>
            <w:noProof/>
          </w:rPr>
          <w:t>Proposal 4: If a UE is configured with a measurement object that can be associated to a NR NTN cell and the UE supports NR NTN, the UE shall be considered to have GNSS on. The exact time where the GNSS is assumed to be on can be determined upon further investigation.</w:t>
        </w:r>
      </w:hyperlink>
    </w:p>
    <w:p w14:paraId="1C4E93F0" w14:textId="44B64A6B" w:rsidR="00847264" w:rsidRPr="008F786B" w:rsidRDefault="00A4355E" w:rsidP="008C39F7">
      <w:r w:rsidRPr="008F786B">
        <w:fldChar w:fldCharType="end"/>
      </w:r>
      <w:bookmarkStart w:id="14" w:name="_Toc116995849"/>
    </w:p>
    <w:p w14:paraId="27AB2751" w14:textId="77777777" w:rsidR="00E43BF9" w:rsidRPr="008F786B" w:rsidRDefault="00E43BF9" w:rsidP="00E43BF9">
      <w:pPr>
        <w:ind w:right="-22"/>
      </w:pPr>
      <w:bookmarkStart w:id="15" w:name="_Ref114500673"/>
      <w:bookmarkEnd w:id="14"/>
      <w:bookmarkEnd w:id="15"/>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CDC91" w14:textId="77777777" w:rsidR="00BD55B5" w:rsidRDefault="00BD55B5" w:rsidP="00001C9B">
      <w:pPr>
        <w:spacing w:after="0" w:line="240" w:lineRule="auto"/>
      </w:pPr>
      <w:r>
        <w:separator/>
      </w:r>
    </w:p>
  </w:endnote>
  <w:endnote w:type="continuationSeparator" w:id="0">
    <w:p w14:paraId="5033F33B" w14:textId="77777777" w:rsidR="00BD55B5" w:rsidRDefault="00BD55B5"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9CFEE" w14:textId="77777777" w:rsidR="00BD55B5" w:rsidRDefault="00BD55B5" w:rsidP="00001C9B">
      <w:pPr>
        <w:spacing w:after="0" w:line="240" w:lineRule="auto"/>
      </w:pPr>
      <w:r>
        <w:separator/>
      </w:r>
    </w:p>
  </w:footnote>
  <w:footnote w:type="continuationSeparator" w:id="0">
    <w:p w14:paraId="3D9613CD" w14:textId="77777777" w:rsidR="00BD55B5" w:rsidRDefault="00BD55B5"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78017C"/>
    <w:multiLevelType w:val="hybridMultilevel"/>
    <w:tmpl w:val="57FE16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2627697">
    <w:abstractNumId w:val="1"/>
  </w:num>
  <w:num w:numId="2" w16cid:durableId="1242956895">
    <w:abstractNumId w:val="6"/>
  </w:num>
  <w:num w:numId="3" w16cid:durableId="1766263363">
    <w:abstractNumId w:val="11"/>
  </w:num>
  <w:num w:numId="4" w16cid:durableId="1617760213">
    <w:abstractNumId w:val="5"/>
  </w:num>
  <w:num w:numId="5" w16cid:durableId="1947733981">
    <w:abstractNumId w:val="14"/>
  </w:num>
  <w:num w:numId="6" w16cid:durableId="2140030276">
    <w:abstractNumId w:val="9"/>
  </w:num>
  <w:num w:numId="7" w16cid:durableId="951324268">
    <w:abstractNumId w:val="10"/>
  </w:num>
  <w:num w:numId="8" w16cid:durableId="1222598906">
    <w:abstractNumId w:val="10"/>
    <w:lvlOverride w:ilvl="0">
      <w:startOverride w:val="1"/>
    </w:lvlOverride>
  </w:num>
  <w:num w:numId="9" w16cid:durableId="1711758202">
    <w:abstractNumId w:val="10"/>
    <w:lvlOverride w:ilvl="0">
      <w:startOverride w:val="1"/>
    </w:lvlOverride>
  </w:num>
  <w:num w:numId="10" w16cid:durableId="387455127">
    <w:abstractNumId w:val="10"/>
    <w:lvlOverride w:ilvl="0">
      <w:startOverride w:val="1"/>
    </w:lvlOverride>
  </w:num>
  <w:num w:numId="11" w16cid:durableId="1499922918">
    <w:abstractNumId w:val="9"/>
    <w:lvlOverride w:ilvl="0">
      <w:startOverride w:val="1"/>
    </w:lvlOverride>
  </w:num>
  <w:num w:numId="12" w16cid:durableId="936524097">
    <w:abstractNumId w:val="10"/>
    <w:lvlOverride w:ilvl="0">
      <w:startOverride w:val="1"/>
    </w:lvlOverride>
  </w:num>
  <w:num w:numId="13" w16cid:durableId="1003554560">
    <w:abstractNumId w:val="9"/>
    <w:lvlOverride w:ilvl="0">
      <w:startOverride w:val="1"/>
    </w:lvlOverride>
  </w:num>
  <w:num w:numId="14" w16cid:durableId="276912361">
    <w:abstractNumId w:val="10"/>
    <w:lvlOverride w:ilvl="0">
      <w:startOverride w:val="1"/>
    </w:lvlOverride>
  </w:num>
  <w:num w:numId="15" w16cid:durableId="1671712288">
    <w:abstractNumId w:val="15"/>
  </w:num>
  <w:num w:numId="16" w16cid:durableId="1235629215">
    <w:abstractNumId w:val="4"/>
  </w:num>
  <w:num w:numId="17" w16cid:durableId="1203446005">
    <w:abstractNumId w:val="13"/>
  </w:num>
  <w:num w:numId="18" w16cid:durableId="283771828">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534568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3508589">
    <w:abstractNumId w:val="8"/>
  </w:num>
  <w:num w:numId="21" w16cid:durableId="1670252589">
    <w:abstractNumId w:val="12"/>
  </w:num>
  <w:num w:numId="22" w16cid:durableId="197546991">
    <w:abstractNumId w:val="9"/>
    <w:lvlOverride w:ilvl="0">
      <w:startOverride w:val="1"/>
    </w:lvlOverride>
  </w:num>
  <w:num w:numId="23" w16cid:durableId="1656300977">
    <w:abstractNumId w:val="10"/>
    <w:lvlOverride w:ilvl="0">
      <w:startOverride w:val="1"/>
    </w:lvlOverride>
  </w:num>
  <w:num w:numId="24" w16cid:durableId="342318160">
    <w:abstractNumId w:val="2"/>
  </w:num>
  <w:num w:numId="25" w16cid:durableId="1155074660">
    <w:abstractNumId w:val="0"/>
  </w:num>
  <w:num w:numId="26" w16cid:durableId="1772048055">
    <w:abstractNumId w:val="0"/>
    <w:lvlOverride w:ilvl="0">
      <w:startOverride w:val="1"/>
    </w:lvlOverride>
  </w:num>
  <w:num w:numId="27" w16cid:durableId="218367412">
    <w:abstractNumId w:val="16"/>
  </w:num>
  <w:num w:numId="28" w16cid:durableId="1866820037">
    <w:abstractNumId w:val="3"/>
  </w:num>
  <w:num w:numId="29" w16cid:durableId="123349302">
    <w:abstractNumId w:val="7"/>
  </w:num>
  <w:num w:numId="30" w16cid:durableId="125817434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1075A"/>
    <w:rsid w:val="00001C9B"/>
    <w:rsid w:val="000040DC"/>
    <w:rsid w:val="00011784"/>
    <w:rsid w:val="000151EF"/>
    <w:rsid w:val="000239F5"/>
    <w:rsid w:val="00061256"/>
    <w:rsid w:val="00072CCA"/>
    <w:rsid w:val="0007601C"/>
    <w:rsid w:val="00081544"/>
    <w:rsid w:val="0008612A"/>
    <w:rsid w:val="00090E18"/>
    <w:rsid w:val="000A10BC"/>
    <w:rsid w:val="000A7F53"/>
    <w:rsid w:val="000B0056"/>
    <w:rsid w:val="000B78DF"/>
    <w:rsid w:val="000C3C7B"/>
    <w:rsid w:val="000D0F93"/>
    <w:rsid w:val="000F01B4"/>
    <w:rsid w:val="00106416"/>
    <w:rsid w:val="00110481"/>
    <w:rsid w:val="001127C9"/>
    <w:rsid w:val="00114498"/>
    <w:rsid w:val="00115B88"/>
    <w:rsid w:val="00132F6A"/>
    <w:rsid w:val="00133913"/>
    <w:rsid w:val="00140221"/>
    <w:rsid w:val="00161913"/>
    <w:rsid w:val="001642FC"/>
    <w:rsid w:val="0016496B"/>
    <w:rsid w:val="001743E2"/>
    <w:rsid w:val="001745F8"/>
    <w:rsid w:val="00174E6D"/>
    <w:rsid w:val="001764A9"/>
    <w:rsid w:val="00182687"/>
    <w:rsid w:val="001838CF"/>
    <w:rsid w:val="001868EE"/>
    <w:rsid w:val="00194AEC"/>
    <w:rsid w:val="001A3BA4"/>
    <w:rsid w:val="001A6D1F"/>
    <w:rsid w:val="001B1EA8"/>
    <w:rsid w:val="001E30F6"/>
    <w:rsid w:val="001F5E19"/>
    <w:rsid w:val="00216379"/>
    <w:rsid w:val="00217EE5"/>
    <w:rsid w:val="00225F78"/>
    <w:rsid w:val="0023559D"/>
    <w:rsid w:val="00235F5C"/>
    <w:rsid w:val="0024235F"/>
    <w:rsid w:val="002433E2"/>
    <w:rsid w:val="00257FA3"/>
    <w:rsid w:val="002745ED"/>
    <w:rsid w:val="00277B56"/>
    <w:rsid w:val="00282A74"/>
    <w:rsid w:val="002849D4"/>
    <w:rsid w:val="00295E70"/>
    <w:rsid w:val="002A19F5"/>
    <w:rsid w:val="002A7D7F"/>
    <w:rsid w:val="002B4922"/>
    <w:rsid w:val="002B69F3"/>
    <w:rsid w:val="002C22C3"/>
    <w:rsid w:val="002C2D19"/>
    <w:rsid w:val="002D10FA"/>
    <w:rsid w:val="002D4C55"/>
    <w:rsid w:val="002E6DED"/>
    <w:rsid w:val="002F0BB8"/>
    <w:rsid w:val="002F5A5C"/>
    <w:rsid w:val="00300956"/>
    <w:rsid w:val="00307EE8"/>
    <w:rsid w:val="00317187"/>
    <w:rsid w:val="0032499A"/>
    <w:rsid w:val="003341F7"/>
    <w:rsid w:val="00344420"/>
    <w:rsid w:val="00347FEC"/>
    <w:rsid w:val="003509DF"/>
    <w:rsid w:val="00356F45"/>
    <w:rsid w:val="00360C25"/>
    <w:rsid w:val="00366B74"/>
    <w:rsid w:val="003774C0"/>
    <w:rsid w:val="00381F95"/>
    <w:rsid w:val="00390DA3"/>
    <w:rsid w:val="003A710A"/>
    <w:rsid w:val="003B4307"/>
    <w:rsid w:val="003B659E"/>
    <w:rsid w:val="003C275E"/>
    <w:rsid w:val="003C4FDE"/>
    <w:rsid w:val="003C7791"/>
    <w:rsid w:val="003D6211"/>
    <w:rsid w:val="003E58DF"/>
    <w:rsid w:val="003F7007"/>
    <w:rsid w:val="00404C4C"/>
    <w:rsid w:val="0041423F"/>
    <w:rsid w:val="00414F81"/>
    <w:rsid w:val="00425468"/>
    <w:rsid w:val="00426B9A"/>
    <w:rsid w:val="00436A0F"/>
    <w:rsid w:val="00437150"/>
    <w:rsid w:val="0043750A"/>
    <w:rsid w:val="00447577"/>
    <w:rsid w:val="004732E9"/>
    <w:rsid w:val="004854BB"/>
    <w:rsid w:val="0049070B"/>
    <w:rsid w:val="00494493"/>
    <w:rsid w:val="00496606"/>
    <w:rsid w:val="004E5E66"/>
    <w:rsid w:val="004E7ADB"/>
    <w:rsid w:val="00503B4D"/>
    <w:rsid w:val="00504EE9"/>
    <w:rsid w:val="0050664E"/>
    <w:rsid w:val="00514E4F"/>
    <w:rsid w:val="00521576"/>
    <w:rsid w:val="005250E6"/>
    <w:rsid w:val="00525404"/>
    <w:rsid w:val="00532F86"/>
    <w:rsid w:val="00542D23"/>
    <w:rsid w:val="0054442C"/>
    <w:rsid w:val="00545E53"/>
    <w:rsid w:val="00550285"/>
    <w:rsid w:val="00562492"/>
    <w:rsid w:val="005624E0"/>
    <w:rsid w:val="00572A20"/>
    <w:rsid w:val="0057685C"/>
    <w:rsid w:val="00581618"/>
    <w:rsid w:val="005836F8"/>
    <w:rsid w:val="005918FA"/>
    <w:rsid w:val="00592A86"/>
    <w:rsid w:val="005B3029"/>
    <w:rsid w:val="005B4801"/>
    <w:rsid w:val="005C23A4"/>
    <w:rsid w:val="005C7EFA"/>
    <w:rsid w:val="005D1CDF"/>
    <w:rsid w:val="005D2BB7"/>
    <w:rsid w:val="005D6FFE"/>
    <w:rsid w:val="005E61A8"/>
    <w:rsid w:val="005F6419"/>
    <w:rsid w:val="005F7767"/>
    <w:rsid w:val="0060301D"/>
    <w:rsid w:val="0060543D"/>
    <w:rsid w:val="006104DD"/>
    <w:rsid w:val="006130B5"/>
    <w:rsid w:val="00614DD8"/>
    <w:rsid w:val="00617400"/>
    <w:rsid w:val="0063007D"/>
    <w:rsid w:val="00632D29"/>
    <w:rsid w:val="0064171D"/>
    <w:rsid w:val="006452D5"/>
    <w:rsid w:val="00664950"/>
    <w:rsid w:val="00683220"/>
    <w:rsid w:val="0068781B"/>
    <w:rsid w:val="00687FA0"/>
    <w:rsid w:val="006A3C11"/>
    <w:rsid w:val="006B5C56"/>
    <w:rsid w:val="006B7010"/>
    <w:rsid w:val="006C3095"/>
    <w:rsid w:val="006E1151"/>
    <w:rsid w:val="006E6311"/>
    <w:rsid w:val="00700F79"/>
    <w:rsid w:val="00701D91"/>
    <w:rsid w:val="0071075A"/>
    <w:rsid w:val="007145FF"/>
    <w:rsid w:val="00715B2A"/>
    <w:rsid w:val="00733B21"/>
    <w:rsid w:val="007376A9"/>
    <w:rsid w:val="007450F1"/>
    <w:rsid w:val="00751515"/>
    <w:rsid w:val="007626B7"/>
    <w:rsid w:val="0078212B"/>
    <w:rsid w:val="00784DF6"/>
    <w:rsid w:val="00785232"/>
    <w:rsid w:val="007A2588"/>
    <w:rsid w:val="007B186C"/>
    <w:rsid w:val="007C1696"/>
    <w:rsid w:val="007C3ED0"/>
    <w:rsid w:val="007C48C4"/>
    <w:rsid w:val="007C5971"/>
    <w:rsid w:val="007E42DC"/>
    <w:rsid w:val="007E4668"/>
    <w:rsid w:val="007E5B60"/>
    <w:rsid w:val="007F54B9"/>
    <w:rsid w:val="00806A76"/>
    <w:rsid w:val="008110B7"/>
    <w:rsid w:val="00811C9D"/>
    <w:rsid w:val="00816C80"/>
    <w:rsid w:val="0081797B"/>
    <w:rsid w:val="0082796A"/>
    <w:rsid w:val="0083554B"/>
    <w:rsid w:val="0083707A"/>
    <w:rsid w:val="00841BCD"/>
    <w:rsid w:val="00847264"/>
    <w:rsid w:val="00851A8E"/>
    <w:rsid w:val="0085365B"/>
    <w:rsid w:val="00853C65"/>
    <w:rsid w:val="008668DA"/>
    <w:rsid w:val="008826C1"/>
    <w:rsid w:val="00883DFD"/>
    <w:rsid w:val="0088491F"/>
    <w:rsid w:val="0089210C"/>
    <w:rsid w:val="00893D2E"/>
    <w:rsid w:val="008A1BF7"/>
    <w:rsid w:val="008A4BA3"/>
    <w:rsid w:val="008A5B0E"/>
    <w:rsid w:val="008A6F69"/>
    <w:rsid w:val="008B0961"/>
    <w:rsid w:val="008C39F7"/>
    <w:rsid w:val="008C5429"/>
    <w:rsid w:val="008E4217"/>
    <w:rsid w:val="008F786B"/>
    <w:rsid w:val="0090091A"/>
    <w:rsid w:val="0090373B"/>
    <w:rsid w:val="009042BD"/>
    <w:rsid w:val="00904FE4"/>
    <w:rsid w:val="00927740"/>
    <w:rsid w:val="00936159"/>
    <w:rsid w:val="00957223"/>
    <w:rsid w:val="00961DD7"/>
    <w:rsid w:val="00977E1D"/>
    <w:rsid w:val="009A32FE"/>
    <w:rsid w:val="009B0573"/>
    <w:rsid w:val="009B7B4B"/>
    <w:rsid w:val="009B7C21"/>
    <w:rsid w:val="009C1E55"/>
    <w:rsid w:val="009E4E6E"/>
    <w:rsid w:val="009E5FA9"/>
    <w:rsid w:val="00A04992"/>
    <w:rsid w:val="00A147AA"/>
    <w:rsid w:val="00A21D71"/>
    <w:rsid w:val="00A22B78"/>
    <w:rsid w:val="00A246F7"/>
    <w:rsid w:val="00A25AE5"/>
    <w:rsid w:val="00A26442"/>
    <w:rsid w:val="00A326A9"/>
    <w:rsid w:val="00A37002"/>
    <w:rsid w:val="00A4355E"/>
    <w:rsid w:val="00A520D9"/>
    <w:rsid w:val="00A64DA0"/>
    <w:rsid w:val="00A74866"/>
    <w:rsid w:val="00A92BCD"/>
    <w:rsid w:val="00AA1B0E"/>
    <w:rsid w:val="00AA47B6"/>
    <w:rsid w:val="00AC06C0"/>
    <w:rsid w:val="00AC163B"/>
    <w:rsid w:val="00AC5CA7"/>
    <w:rsid w:val="00AC6058"/>
    <w:rsid w:val="00AD449D"/>
    <w:rsid w:val="00AE2BA5"/>
    <w:rsid w:val="00AE3586"/>
    <w:rsid w:val="00AE56B1"/>
    <w:rsid w:val="00AE6D09"/>
    <w:rsid w:val="00AF7A7C"/>
    <w:rsid w:val="00B02070"/>
    <w:rsid w:val="00B07D89"/>
    <w:rsid w:val="00B258FE"/>
    <w:rsid w:val="00B26A8A"/>
    <w:rsid w:val="00B408B6"/>
    <w:rsid w:val="00B542DA"/>
    <w:rsid w:val="00B6360B"/>
    <w:rsid w:val="00B65169"/>
    <w:rsid w:val="00B66B7D"/>
    <w:rsid w:val="00B70611"/>
    <w:rsid w:val="00B73862"/>
    <w:rsid w:val="00B73F43"/>
    <w:rsid w:val="00B75BBF"/>
    <w:rsid w:val="00B81CDC"/>
    <w:rsid w:val="00BA308C"/>
    <w:rsid w:val="00BA6B66"/>
    <w:rsid w:val="00BA6E48"/>
    <w:rsid w:val="00BA79CF"/>
    <w:rsid w:val="00BD1174"/>
    <w:rsid w:val="00BD55B5"/>
    <w:rsid w:val="00BE0AF6"/>
    <w:rsid w:val="00BE1F03"/>
    <w:rsid w:val="00BE58A7"/>
    <w:rsid w:val="00BF2218"/>
    <w:rsid w:val="00C0426B"/>
    <w:rsid w:val="00C045DF"/>
    <w:rsid w:val="00C25A33"/>
    <w:rsid w:val="00C26D43"/>
    <w:rsid w:val="00C35173"/>
    <w:rsid w:val="00C43F4A"/>
    <w:rsid w:val="00C46548"/>
    <w:rsid w:val="00C47E1F"/>
    <w:rsid w:val="00C574D5"/>
    <w:rsid w:val="00C73F32"/>
    <w:rsid w:val="00C851E4"/>
    <w:rsid w:val="00C87462"/>
    <w:rsid w:val="00CA180C"/>
    <w:rsid w:val="00CB22B2"/>
    <w:rsid w:val="00CC3EE2"/>
    <w:rsid w:val="00CC5A68"/>
    <w:rsid w:val="00CD6C0E"/>
    <w:rsid w:val="00CD7492"/>
    <w:rsid w:val="00CE3A6B"/>
    <w:rsid w:val="00D00211"/>
    <w:rsid w:val="00D006D1"/>
    <w:rsid w:val="00D025AE"/>
    <w:rsid w:val="00D03109"/>
    <w:rsid w:val="00D06309"/>
    <w:rsid w:val="00D349A5"/>
    <w:rsid w:val="00D351EA"/>
    <w:rsid w:val="00D40288"/>
    <w:rsid w:val="00D43403"/>
    <w:rsid w:val="00D50A6B"/>
    <w:rsid w:val="00D5270B"/>
    <w:rsid w:val="00D62E71"/>
    <w:rsid w:val="00D6430D"/>
    <w:rsid w:val="00D656BD"/>
    <w:rsid w:val="00D66188"/>
    <w:rsid w:val="00D731F6"/>
    <w:rsid w:val="00D740CA"/>
    <w:rsid w:val="00D816F8"/>
    <w:rsid w:val="00D85728"/>
    <w:rsid w:val="00D95481"/>
    <w:rsid w:val="00D96E40"/>
    <w:rsid w:val="00DA0162"/>
    <w:rsid w:val="00DA3354"/>
    <w:rsid w:val="00DB0AEA"/>
    <w:rsid w:val="00DC737B"/>
    <w:rsid w:val="00DC7A13"/>
    <w:rsid w:val="00DE7064"/>
    <w:rsid w:val="00DF2997"/>
    <w:rsid w:val="00E05ADC"/>
    <w:rsid w:val="00E10BC4"/>
    <w:rsid w:val="00E1415D"/>
    <w:rsid w:val="00E213BD"/>
    <w:rsid w:val="00E233D3"/>
    <w:rsid w:val="00E30743"/>
    <w:rsid w:val="00E30CF6"/>
    <w:rsid w:val="00E323E9"/>
    <w:rsid w:val="00E32FB6"/>
    <w:rsid w:val="00E34018"/>
    <w:rsid w:val="00E361C2"/>
    <w:rsid w:val="00E437D2"/>
    <w:rsid w:val="00E43BF9"/>
    <w:rsid w:val="00E47BC6"/>
    <w:rsid w:val="00E51930"/>
    <w:rsid w:val="00E54B70"/>
    <w:rsid w:val="00E55751"/>
    <w:rsid w:val="00E5652C"/>
    <w:rsid w:val="00E7398E"/>
    <w:rsid w:val="00E73AF3"/>
    <w:rsid w:val="00E81BCC"/>
    <w:rsid w:val="00E82086"/>
    <w:rsid w:val="00E82B94"/>
    <w:rsid w:val="00E82EEB"/>
    <w:rsid w:val="00E87217"/>
    <w:rsid w:val="00EA2311"/>
    <w:rsid w:val="00EC7BC3"/>
    <w:rsid w:val="00ED7600"/>
    <w:rsid w:val="00EE35F3"/>
    <w:rsid w:val="00EF48C0"/>
    <w:rsid w:val="00EF6073"/>
    <w:rsid w:val="00EF698B"/>
    <w:rsid w:val="00F1362C"/>
    <w:rsid w:val="00F2616B"/>
    <w:rsid w:val="00F414F1"/>
    <w:rsid w:val="00F508B8"/>
    <w:rsid w:val="00F72CB1"/>
    <w:rsid w:val="00F8215E"/>
    <w:rsid w:val="00F824F5"/>
    <w:rsid w:val="00F90FAB"/>
    <w:rsid w:val="00F9374D"/>
    <w:rsid w:val="00FB6924"/>
    <w:rsid w:val="00FC29B9"/>
    <w:rsid w:val="00FC6FD3"/>
    <w:rsid w:val="00FD15E1"/>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EB370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목록 단,?? ??,?????,????,목록 단락,Grille moyenne 1 - Accent 21,- Bullets,1st level - Bullet List Paragraph,List Paragraph1,Lettre d'introduction,Paragrafo elenco,Normal bullet 2,Bullet list,Numbered List,Lista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목록 단 Char,?? ?? Char,????? Char,???? Char,목록 단락 Char,Grille moyenne 1 - Accent 21 Char,- Bullets Char,1st level - Bullet List Paragraph Char,List Paragraph1 Char,Lettre d'introduction Char,Lista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ExtG" w:hAnsi="@SimSun-Ext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9C1E55"/>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1294</Words>
  <Characters>6705</Characters>
  <Application>Microsoft Office Word</Application>
  <DocSecurity>0</DocSecurity>
  <Lines>111</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7972</CharactersWithSpaces>
  <SharedDoc>false</SharedDoc>
  <HLinks>
    <vt:vector size="36" baseType="variant">
      <vt:variant>
        <vt:i4>7602297</vt:i4>
      </vt:variant>
      <vt:variant>
        <vt:i4>21</vt:i4>
      </vt:variant>
      <vt:variant>
        <vt:i4>0</vt:i4>
      </vt:variant>
      <vt:variant>
        <vt:i4>5</vt:i4>
      </vt:variant>
      <vt:variant>
        <vt:lpwstr>https://www.3gpp.org/ftp/tsg_ran/WG4_Radio/</vt:lpwstr>
      </vt:variant>
      <vt:variant>
        <vt:lpwstr/>
      </vt:variant>
      <vt:variant>
        <vt:i4>5898315</vt:i4>
      </vt:variant>
      <vt:variant>
        <vt:i4>18</vt:i4>
      </vt:variant>
      <vt:variant>
        <vt:i4>0</vt:i4>
      </vt:variant>
      <vt:variant>
        <vt:i4>5</vt:i4>
      </vt:variant>
      <vt:variant>
        <vt:lpwstr>https://whatthespec.net/index.php</vt:lpwstr>
      </vt:variant>
      <vt:variant>
        <vt:lpwstr/>
      </vt:variant>
      <vt:variant>
        <vt:i4>1376315</vt:i4>
      </vt:variant>
      <vt:variant>
        <vt:i4>14</vt:i4>
      </vt:variant>
      <vt:variant>
        <vt:i4>0</vt:i4>
      </vt:variant>
      <vt:variant>
        <vt:i4>5</vt:i4>
      </vt:variant>
      <vt:variant>
        <vt:lpwstr/>
      </vt:variant>
      <vt:variant>
        <vt:lpwstr>_Toc133918805</vt:lpwstr>
      </vt:variant>
      <vt:variant>
        <vt:i4>1376315</vt:i4>
      </vt:variant>
      <vt:variant>
        <vt:i4>11</vt:i4>
      </vt:variant>
      <vt:variant>
        <vt:i4>0</vt:i4>
      </vt:variant>
      <vt:variant>
        <vt:i4>5</vt:i4>
      </vt:variant>
      <vt:variant>
        <vt:lpwstr/>
      </vt:variant>
      <vt:variant>
        <vt:lpwstr>_Toc133918804</vt:lpwstr>
      </vt:variant>
      <vt:variant>
        <vt:i4>1376315</vt:i4>
      </vt:variant>
      <vt:variant>
        <vt:i4>8</vt:i4>
      </vt:variant>
      <vt:variant>
        <vt:i4>0</vt:i4>
      </vt:variant>
      <vt:variant>
        <vt:i4>5</vt:i4>
      </vt:variant>
      <vt:variant>
        <vt:lpwstr/>
      </vt:variant>
      <vt:variant>
        <vt:lpwstr>_Toc133918803</vt:lpwstr>
      </vt:variant>
      <vt:variant>
        <vt:i4>1376315</vt:i4>
      </vt:variant>
      <vt:variant>
        <vt:i4>5</vt:i4>
      </vt:variant>
      <vt:variant>
        <vt:i4>0</vt:i4>
      </vt:variant>
      <vt:variant>
        <vt:i4>5</vt:i4>
      </vt:variant>
      <vt:variant>
        <vt:lpwstr/>
      </vt:variant>
      <vt:variant>
        <vt:lpwstr>_Toc133918802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2026-01-30T14:22:00Z</dcterms:created>
  <dcterms:modified xsi:type="dcterms:W3CDTF">2026-01-30T17:28:00Z</dcterms:modified>
</cp:coreProperties>
</file>